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76" w:type="pct"/>
        <w:tblCellMar>
          <w:left w:w="0" w:type="dxa"/>
          <w:right w:w="0" w:type="dxa"/>
        </w:tblCellMar>
        <w:tblLook w:val="04A0" w:firstRow="1" w:lastRow="0" w:firstColumn="1" w:lastColumn="0" w:noHBand="0" w:noVBand="1"/>
      </w:tblPr>
      <w:tblGrid>
        <w:gridCol w:w="3437"/>
        <w:gridCol w:w="7644"/>
      </w:tblGrid>
      <w:tr w:rsidR="00CE6799" w:rsidRPr="00CE6799" w:rsidTr="00CE6799">
        <w:tc>
          <w:tcPr>
            <w:tcW w:w="1551" w:type="pct"/>
            <w:tcMar>
              <w:top w:w="0" w:type="dxa"/>
              <w:left w:w="108" w:type="dxa"/>
              <w:bottom w:w="0" w:type="dxa"/>
              <w:right w:w="108" w:type="dxa"/>
            </w:tcMar>
            <w:hideMark/>
          </w:tcPr>
          <w:p w:rsidR="00CE6799" w:rsidRPr="00CE6799" w:rsidRDefault="00CE6799">
            <w:pPr>
              <w:spacing w:before="90" w:after="90"/>
              <w:jc w:val="center"/>
            </w:pPr>
            <w:r w:rsidRPr="00CE6799">
              <w:rPr>
                <w:b/>
                <w:bCs/>
              </w:rPr>
              <w:t>UỶ BAN NHÂN DÂN</w:t>
            </w:r>
          </w:p>
          <w:p w:rsidR="00CE6799" w:rsidRPr="00CE6799" w:rsidRDefault="00CE6799">
            <w:pPr>
              <w:spacing w:before="90" w:after="90"/>
              <w:jc w:val="center"/>
            </w:pPr>
            <w:r w:rsidRPr="00CE6799">
              <w:rPr>
                <w:b/>
                <w:bCs/>
              </w:rPr>
              <w:t>THÀNH P</w:t>
            </w:r>
            <w:bookmarkStart w:id="0" w:name="_GoBack"/>
            <w:bookmarkEnd w:id="0"/>
            <w:r w:rsidRPr="00CE6799">
              <w:rPr>
                <w:b/>
                <w:bCs/>
              </w:rPr>
              <w:t>HỐ HỒ CHÍ MINH</w:t>
            </w:r>
          </w:p>
          <w:p w:rsidR="00CE6799" w:rsidRPr="00CE6799" w:rsidRDefault="00CE6799">
            <w:pPr>
              <w:spacing w:before="90" w:after="90"/>
              <w:jc w:val="center"/>
            </w:pPr>
            <w:r w:rsidRPr="00CE6799">
              <w:t> </w:t>
            </w:r>
          </w:p>
          <w:p w:rsidR="00CE6799" w:rsidRPr="00CE6799" w:rsidRDefault="00CE6799">
            <w:pPr>
              <w:pStyle w:val="NormalWeb"/>
              <w:spacing w:before="90" w:beforeAutospacing="0" w:after="90" w:afterAutospacing="0"/>
              <w:jc w:val="center"/>
            </w:pPr>
            <w:r w:rsidRPr="00CE6799">
              <w:rPr>
                <w:b/>
                <w:bCs/>
              </w:rPr>
              <w:t> </w:t>
            </w:r>
            <w:r w:rsidRPr="00CE6799">
              <w:t> __________</w:t>
            </w:r>
          </w:p>
          <w:p w:rsidR="00CE6799" w:rsidRPr="00CE6799" w:rsidRDefault="00CE6799">
            <w:pPr>
              <w:spacing w:before="90" w:after="90"/>
              <w:jc w:val="center"/>
            </w:pPr>
            <w:r w:rsidRPr="00CE6799">
              <w:t xml:space="preserve">Số: </w:t>
            </w:r>
            <w:r w:rsidRPr="00CE6799">
              <w:rPr>
                <w:rStyle w:val="highlight"/>
              </w:rPr>
              <w:t>84/2011</w:t>
            </w:r>
            <w:r w:rsidRPr="00CE6799">
              <w:t>/QĐ-UBND</w:t>
            </w:r>
          </w:p>
        </w:tc>
        <w:tc>
          <w:tcPr>
            <w:tcW w:w="3449" w:type="pct"/>
            <w:tcMar>
              <w:top w:w="0" w:type="dxa"/>
              <w:left w:w="108" w:type="dxa"/>
              <w:bottom w:w="0" w:type="dxa"/>
              <w:right w:w="108" w:type="dxa"/>
            </w:tcMar>
            <w:hideMark/>
          </w:tcPr>
          <w:p w:rsidR="00CE6799" w:rsidRPr="00CE6799" w:rsidRDefault="00CE6799">
            <w:pPr>
              <w:spacing w:before="90" w:after="90"/>
              <w:jc w:val="center"/>
            </w:pPr>
            <w:r w:rsidRPr="00CE6799">
              <w:rPr>
                <w:b/>
                <w:bCs/>
              </w:rPr>
              <w:t>CỘNG HOÀ XÃ HỘI CHỦ NGHĨA VIỆT NAM</w:t>
            </w:r>
          </w:p>
          <w:p w:rsidR="00CE6799" w:rsidRPr="00CE6799" w:rsidRDefault="00CE6799">
            <w:pPr>
              <w:spacing w:before="90" w:after="90"/>
              <w:jc w:val="center"/>
            </w:pPr>
            <w:r w:rsidRPr="00CE6799">
              <w:rPr>
                <w:b/>
                <w:bCs/>
              </w:rPr>
              <w:t>Độc lập - Tự do - Hạnh phúc</w:t>
            </w:r>
          </w:p>
          <w:p w:rsidR="00CE6799" w:rsidRPr="00CE6799" w:rsidRDefault="00CE6799">
            <w:pPr>
              <w:spacing w:before="90" w:after="90"/>
              <w:jc w:val="center"/>
            </w:pPr>
            <w:r w:rsidRPr="00CE6799">
              <w:t>_______________</w:t>
            </w:r>
          </w:p>
          <w:p w:rsidR="00CE6799" w:rsidRPr="00CE6799" w:rsidRDefault="00CE6799">
            <w:pPr>
              <w:pStyle w:val="NormalWeb"/>
              <w:spacing w:before="90" w:beforeAutospacing="0" w:after="90" w:afterAutospacing="0"/>
              <w:jc w:val="center"/>
            </w:pPr>
            <w:r w:rsidRPr="00CE6799">
              <w:rPr>
                <w:i/>
                <w:iCs/>
              </w:rPr>
              <w:t>Thành phố Hồ Chí Minh, ngày 21 tháng 12 năm 2011</w:t>
            </w:r>
          </w:p>
        </w:tc>
      </w:tr>
    </w:tbl>
    <w:p w:rsidR="00CE6799" w:rsidRPr="00CE6799" w:rsidRDefault="00CE6799" w:rsidP="00CE6799">
      <w:pPr>
        <w:spacing w:before="90" w:after="90"/>
        <w:jc w:val="center"/>
      </w:pPr>
      <w:r w:rsidRPr="00CE6799">
        <w:t> </w:t>
      </w:r>
    </w:p>
    <w:p w:rsidR="00CE6799" w:rsidRPr="00CE6799" w:rsidRDefault="00CE6799" w:rsidP="00CE6799">
      <w:pPr>
        <w:spacing w:before="90" w:after="90"/>
        <w:jc w:val="center"/>
      </w:pPr>
      <w:r w:rsidRPr="00CE6799">
        <w:rPr>
          <w:b/>
          <w:bCs/>
        </w:rPr>
        <w:t>QUYẾT ĐỊNH</w:t>
      </w:r>
    </w:p>
    <w:p w:rsidR="00CE6799" w:rsidRPr="00CE6799" w:rsidRDefault="00CE6799" w:rsidP="00CE6799">
      <w:pPr>
        <w:spacing w:before="90" w:after="90"/>
        <w:jc w:val="center"/>
      </w:pPr>
      <w:r w:rsidRPr="00CE6799">
        <w:rPr>
          <w:b/>
          <w:bCs/>
        </w:rPr>
        <w:t xml:space="preserve">Về ban hành mức </w:t>
      </w:r>
      <w:proofErr w:type="gramStart"/>
      <w:r w:rsidRPr="00CE6799">
        <w:rPr>
          <w:b/>
          <w:bCs/>
        </w:rPr>
        <w:t>thu</w:t>
      </w:r>
      <w:proofErr w:type="gramEnd"/>
      <w:r w:rsidRPr="00CE6799">
        <w:rPr>
          <w:b/>
          <w:bCs/>
        </w:rPr>
        <w:t xml:space="preserve"> lệ phí trước bạ đối với ô tô chở người </w:t>
      </w:r>
    </w:p>
    <w:p w:rsidR="00CE6799" w:rsidRPr="00CE6799" w:rsidRDefault="00CE6799" w:rsidP="00CE6799">
      <w:pPr>
        <w:spacing w:before="90" w:after="90"/>
        <w:jc w:val="center"/>
      </w:pPr>
      <w:proofErr w:type="gramStart"/>
      <w:r w:rsidRPr="00CE6799">
        <w:rPr>
          <w:b/>
          <w:bCs/>
        </w:rPr>
        <w:t>dưới</w:t>
      </w:r>
      <w:proofErr w:type="gramEnd"/>
      <w:r w:rsidRPr="00CE6799">
        <w:rPr>
          <w:b/>
          <w:bCs/>
        </w:rPr>
        <w:t xml:space="preserve"> 10 chỗ ngồi (kể cả lái xe) trên địa bàn thành phố Hồ Chí Minh</w:t>
      </w:r>
    </w:p>
    <w:p w:rsidR="00CE6799" w:rsidRPr="00CE6799" w:rsidRDefault="00CE6799" w:rsidP="00CE6799">
      <w:pPr>
        <w:spacing w:before="90" w:after="90"/>
        <w:jc w:val="center"/>
      </w:pPr>
      <w:r w:rsidRPr="00CE6799">
        <w:t>__________________</w:t>
      </w:r>
    </w:p>
    <w:p w:rsidR="00CE6799" w:rsidRPr="00CE6799" w:rsidRDefault="00CE6799" w:rsidP="00CE6799">
      <w:pPr>
        <w:spacing w:before="90" w:after="90"/>
        <w:jc w:val="center"/>
      </w:pPr>
      <w:r w:rsidRPr="00CE6799">
        <w:t> </w:t>
      </w:r>
    </w:p>
    <w:p w:rsidR="00CE6799" w:rsidRPr="00CE6799" w:rsidRDefault="00CE6799" w:rsidP="00CE6799">
      <w:pPr>
        <w:spacing w:before="90" w:after="90"/>
        <w:jc w:val="center"/>
      </w:pPr>
      <w:r w:rsidRPr="00CE6799">
        <w:rPr>
          <w:b/>
          <w:bCs/>
        </w:rPr>
        <w:t>ỦY BAN NHÂN DÂN THÀNH PHỐ HỒ CHÍ MINH</w:t>
      </w:r>
    </w:p>
    <w:p w:rsidR="00CE6799" w:rsidRPr="00CE6799" w:rsidRDefault="00CE6799" w:rsidP="00CE6799">
      <w:pPr>
        <w:spacing w:before="90" w:after="90"/>
        <w:jc w:val="center"/>
      </w:pPr>
      <w:r w:rsidRPr="00CE6799">
        <w:t> </w:t>
      </w:r>
    </w:p>
    <w:p w:rsidR="00CE6799" w:rsidRPr="00CE6799" w:rsidRDefault="00CE6799" w:rsidP="00CE6799">
      <w:pPr>
        <w:spacing w:before="90" w:after="90"/>
        <w:jc w:val="both"/>
      </w:pPr>
      <w:r w:rsidRPr="00CE6799">
        <w:t>Căn cứ Luật Tổ chức Hội đồng nhân dân và Ủy ban nhân dân ngày 26 tháng 11 năm 2003;</w:t>
      </w:r>
    </w:p>
    <w:p w:rsidR="00CE6799" w:rsidRPr="00CE6799" w:rsidRDefault="00CE6799" w:rsidP="00CE6799">
      <w:pPr>
        <w:spacing w:before="90" w:after="90"/>
        <w:jc w:val="both"/>
      </w:pPr>
      <w:r w:rsidRPr="00CE6799">
        <w:t>Căn cứ Luật Ban hành văn bản quy phạm pháp luật của Hội đồng nhân dân và Ủy ban nhân dân ngày 03 tháng 12 năm 2004;</w:t>
      </w:r>
    </w:p>
    <w:p w:rsidR="00CE6799" w:rsidRPr="00CE6799" w:rsidRDefault="00CE6799" w:rsidP="00CE6799">
      <w:pPr>
        <w:spacing w:before="90" w:after="90"/>
        <w:jc w:val="both"/>
      </w:pPr>
      <w:r w:rsidRPr="00CE6799">
        <w:t>Căn cứ Luật Quản lý thuế ngày 29 tháng 11 năm 2006;</w:t>
      </w:r>
    </w:p>
    <w:p w:rsidR="00CE6799" w:rsidRPr="00CE6799" w:rsidRDefault="00CE6799" w:rsidP="00CE6799">
      <w:pPr>
        <w:spacing w:before="90" w:after="90"/>
        <w:jc w:val="both"/>
      </w:pPr>
      <w:r w:rsidRPr="00CE6799">
        <w:t>Căn cứ Nghị định số 45/2011/NĐ-CP ngày 17 tháng 6 năm 2011 của Chính phủ về lệ phí trước bạ;</w:t>
      </w:r>
    </w:p>
    <w:p w:rsidR="00CE6799" w:rsidRPr="00CE6799" w:rsidRDefault="00CE6799" w:rsidP="00CE6799">
      <w:pPr>
        <w:spacing w:before="90" w:after="90"/>
        <w:jc w:val="both"/>
      </w:pPr>
      <w:r w:rsidRPr="00CE6799">
        <w:t xml:space="preserve">Căn cứ Thông tư số 124/2011/TT-BTC ngày 31 tháng 6 năm 2011 của Bộ Tài chính hướng dẫn thực hiện Nghị định số 45/2011/NĐ-CP ngày 17 tháng 6 năm 2011 của Chính phủ về lệ phí trước bạ; </w:t>
      </w:r>
    </w:p>
    <w:p w:rsidR="00CE6799" w:rsidRPr="00CE6799" w:rsidRDefault="00CE6799" w:rsidP="00CE6799">
      <w:pPr>
        <w:spacing w:before="90" w:after="90"/>
        <w:jc w:val="both"/>
      </w:pPr>
      <w:r w:rsidRPr="00CE6799">
        <w:t>Căn cứ Nghị quyết số 24/2011/NQ-HĐND ngày 07 tháng 12 năm 2011 của Hội đồng nhân dân Thành phố khóa VIII, kỳ họp thứ ba về ban hành mức thu lệ phí trước bạ đối với ô tô chở người dưới 10 chỗ ngồi (kể cả lái xe) trên địa bàn Thành phố Hồ Chí Minh,</w:t>
      </w:r>
    </w:p>
    <w:p w:rsidR="00CE6799" w:rsidRPr="00CE6799" w:rsidRDefault="00CE6799" w:rsidP="00CE6799">
      <w:pPr>
        <w:spacing w:before="90" w:after="90"/>
        <w:jc w:val="both"/>
      </w:pPr>
      <w:r w:rsidRPr="00CE6799">
        <w:t> </w:t>
      </w:r>
    </w:p>
    <w:p w:rsidR="00CE6799" w:rsidRPr="00CE6799" w:rsidRDefault="00CE6799" w:rsidP="00CE6799">
      <w:pPr>
        <w:spacing w:before="90" w:after="90"/>
        <w:jc w:val="center"/>
      </w:pPr>
      <w:r w:rsidRPr="00CE6799">
        <w:rPr>
          <w:b/>
          <w:bCs/>
        </w:rPr>
        <w:t>QUYẾT ĐỊNH:</w:t>
      </w:r>
    </w:p>
    <w:p w:rsidR="00CE6799" w:rsidRPr="00CE6799" w:rsidRDefault="00CE6799" w:rsidP="00CE6799">
      <w:pPr>
        <w:spacing w:before="90" w:after="90"/>
        <w:jc w:val="center"/>
      </w:pPr>
      <w:r w:rsidRPr="00CE6799">
        <w:t> </w:t>
      </w:r>
    </w:p>
    <w:p w:rsidR="00CE6799" w:rsidRPr="00CE6799" w:rsidRDefault="00CE6799" w:rsidP="00CE6799">
      <w:pPr>
        <w:spacing w:before="90" w:after="90"/>
        <w:jc w:val="both"/>
      </w:pPr>
      <w:proofErr w:type="gramStart"/>
      <w:r w:rsidRPr="00CE6799">
        <w:rPr>
          <w:b/>
          <w:bCs/>
        </w:rPr>
        <w:t>Điều 1.</w:t>
      </w:r>
      <w:proofErr w:type="gramEnd"/>
      <w:r w:rsidRPr="00CE6799">
        <w:t xml:space="preserve"> Nay ban hành mức </w:t>
      </w:r>
      <w:proofErr w:type="gramStart"/>
      <w:r w:rsidRPr="00CE6799">
        <w:t>thu</w:t>
      </w:r>
      <w:proofErr w:type="gramEnd"/>
      <w:r w:rsidRPr="00CE6799">
        <w:t xml:space="preserve"> lệ phí trước bạ đối với ô tô chở người dưới 10 chỗ ngồi (kể cả lái xe) trên địa bàn Thành phố Hồ Chí Minh như sau:</w:t>
      </w:r>
    </w:p>
    <w:p w:rsidR="00CE6799" w:rsidRPr="00CE6799" w:rsidRDefault="00CE6799" w:rsidP="00CE6799">
      <w:pPr>
        <w:spacing w:before="90" w:after="90"/>
        <w:jc w:val="both"/>
      </w:pPr>
      <w:r w:rsidRPr="00CE6799">
        <w:t xml:space="preserve">1. Đối với </w:t>
      </w:r>
      <w:proofErr w:type="gramStart"/>
      <w:r w:rsidRPr="00CE6799">
        <w:t>xe</w:t>
      </w:r>
      <w:proofErr w:type="gramEnd"/>
      <w:r w:rsidRPr="00CE6799">
        <w:t xml:space="preserve"> ô tô trước bạ lần đầu (gồm xe đăng ký mới và xe từ các tỉnh chuyển về): 15%. </w:t>
      </w:r>
    </w:p>
    <w:p w:rsidR="00CE6799" w:rsidRPr="00CE6799" w:rsidRDefault="00CE6799" w:rsidP="00CE6799">
      <w:pPr>
        <w:spacing w:before="90" w:after="90"/>
        <w:jc w:val="both"/>
      </w:pPr>
      <w:r w:rsidRPr="00CE6799">
        <w:t xml:space="preserve">2. Đối với </w:t>
      </w:r>
      <w:proofErr w:type="gramStart"/>
      <w:r w:rsidRPr="00CE6799">
        <w:t>xe</w:t>
      </w:r>
      <w:proofErr w:type="gramEnd"/>
      <w:r w:rsidRPr="00CE6799">
        <w:t xml:space="preserve"> ô tô trước bạ từ lần thứ hai trở đi: 10%.</w:t>
      </w:r>
    </w:p>
    <w:p w:rsidR="00CE6799" w:rsidRPr="00CE6799" w:rsidRDefault="00CE6799" w:rsidP="00CE6799">
      <w:pPr>
        <w:spacing w:before="90" w:after="90"/>
        <w:jc w:val="both"/>
      </w:pPr>
      <w:proofErr w:type="gramStart"/>
      <w:r w:rsidRPr="00CE6799">
        <w:rPr>
          <w:b/>
          <w:bCs/>
        </w:rPr>
        <w:t>Điều 2.</w:t>
      </w:r>
      <w:proofErr w:type="gramEnd"/>
      <w:r w:rsidRPr="00CE6799">
        <w:t xml:space="preserve"> </w:t>
      </w:r>
      <w:proofErr w:type="gramStart"/>
      <w:r w:rsidRPr="00CE6799">
        <w:t>Quyết định này có hiệu lực thi hành từ ngày 01 tháng 01 năm 2012.</w:t>
      </w:r>
      <w:proofErr w:type="gramEnd"/>
    </w:p>
    <w:p w:rsidR="00CE6799" w:rsidRPr="00CE6799" w:rsidRDefault="00CE6799" w:rsidP="00CE6799">
      <w:pPr>
        <w:spacing w:before="90" w:after="90"/>
        <w:jc w:val="both"/>
      </w:pPr>
      <w:r w:rsidRPr="00CE6799">
        <w:t>Quyết định này thay thế Quyết định số 83/2011/QĐ-UBND ngày 19 tháng 12 năm 2011 về ban hành mức thu lệ phí trước bạ đối với ô tô dưới 10 chỗ ngồi (kể cả lái xe) trên địa bàn thành phố Hồ Chí Minh.</w:t>
      </w:r>
    </w:p>
    <w:p w:rsidR="00CE6799" w:rsidRPr="00CE6799" w:rsidRDefault="00CE6799" w:rsidP="00CE6799">
      <w:pPr>
        <w:spacing w:before="90" w:after="90"/>
        <w:jc w:val="both"/>
      </w:pPr>
      <w:proofErr w:type="gramStart"/>
      <w:r w:rsidRPr="00CE6799">
        <w:rPr>
          <w:b/>
          <w:bCs/>
        </w:rPr>
        <w:t>Điều 3.</w:t>
      </w:r>
      <w:proofErr w:type="gramEnd"/>
      <w:r w:rsidRPr="00CE6799">
        <w:t xml:space="preserve"> Chánh Văn phòng Ủy ban nhân dân Thành phố, Giám đốc Sở Tài chính, Cục trưởng Cục Thuế thành phố chịu trách nhiệm thi hành Quyết định này./.</w:t>
      </w:r>
    </w:p>
    <w:p w:rsidR="00CE6799" w:rsidRPr="00CE6799" w:rsidRDefault="00CE6799" w:rsidP="00CE6799">
      <w:pPr>
        <w:spacing w:before="90" w:after="90"/>
      </w:pPr>
      <w:r w:rsidRPr="00CE6799">
        <w:t> </w:t>
      </w:r>
    </w:p>
    <w:tbl>
      <w:tblPr>
        <w:tblW w:w="5000" w:type="pct"/>
        <w:tblCellMar>
          <w:left w:w="0" w:type="dxa"/>
          <w:right w:w="0" w:type="dxa"/>
        </w:tblCellMar>
        <w:tblLook w:val="04A0" w:firstRow="1" w:lastRow="0" w:firstColumn="1" w:lastColumn="0" w:noHBand="0" w:noVBand="1"/>
      </w:tblPr>
      <w:tblGrid>
        <w:gridCol w:w="5962"/>
        <w:gridCol w:w="3974"/>
      </w:tblGrid>
      <w:tr w:rsidR="00CE6799" w:rsidRPr="00CE6799" w:rsidTr="00CE6799">
        <w:tc>
          <w:tcPr>
            <w:tcW w:w="3000" w:type="pct"/>
            <w:tcMar>
              <w:top w:w="0" w:type="dxa"/>
              <w:left w:w="108" w:type="dxa"/>
              <w:bottom w:w="0" w:type="dxa"/>
              <w:right w:w="108" w:type="dxa"/>
            </w:tcMar>
            <w:hideMark/>
          </w:tcPr>
          <w:p w:rsidR="00CE6799" w:rsidRPr="00CE6799" w:rsidRDefault="00CE6799">
            <w:pPr>
              <w:spacing w:before="30" w:after="30"/>
            </w:pPr>
            <w:r w:rsidRPr="00CE6799">
              <w:t> </w:t>
            </w:r>
            <w:r w:rsidRPr="00CE6799">
              <w:rPr>
                <w:b/>
                <w:bCs/>
                <w:i/>
                <w:iCs/>
              </w:rPr>
              <w:t>Nơi nhận:</w:t>
            </w:r>
            <w:r w:rsidRPr="00CE6799">
              <w:rPr>
                <w:b/>
                <w:bCs/>
                <w:i/>
                <w:iCs/>
              </w:rPr>
              <w:br/>
            </w:r>
            <w:r w:rsidRPr="00CE6799">
              <w:t>- Như Điều 3;</w:t>
            </w:r>
            <w:r w:rsidRPr="00CE6799">
              <w:br/>
              <w:t>- Bộ Tư pháp, Bộ Tài chính;</w:t>
            </w:r>
            <w:r w:rsidRPr="00CE6799">
              <w:br/>
            </w:r>
            <w:r w:rsidRPr="00CE6799">
              <w:lastRenderedPageBreak/>
              <w:t>- Cục Kiểm tra văn bản - Bộ Tư pháp;</w:t>
            </w:r>
          </w:p>
          <w:p w:rsidR="00CE6799" w:rsidRPr="00CE6799" w:rsidRDefault="00CE6799">
            <w:pPr>
              <w:spacing w:before="30" w:after="30"/>
            </w:pPr>
            <w:r w:rsidRPr="00CE6799">
              <w:t>- Đoàn Đại biểu Quốc hội TP</w:t>
            </w:r>
            <w:proofErr w:type="gramStart"/>
            <w:r w:rsidRPr="00CE6799">
              <w:t>;</w:t>
            </w:r>
            <w:proofErr w:type="gramEnd"/>
            <w:r w:rsidRPr="00CE6799">
              <w:br/>
              <w:t>- Thường trực Thành ủy;</w:t>
            </w:r>
            <w:r w:rsidRPr="00CE6799">
              <w:br/>
              <w:t>- Thường trực HĐND.TP;</w:t>
            </w:r>
            <w:r w:rsidRPr="00CE6799">
              <w:br/>
              <w:t>- TTUB: CT, các PCT;</w:t>
            </w:r>
            <w:r w:rsidRPr="00CE6799">
              <w:br/>
              <w:t>- Ủy ban Mặt trận Tổ quốc TP;</w:t>
            </w:r>
            <w:r w:rsidRPr="00CE6799">
              <w:br/>
              <w:t>- VPUB: các PVP; Các Phòng CV; TTCB;</w:t>
            </w:r>
            <w:r w:rsidRPr="00CE6799">
              <w:br/>
              <w:t>- Lưu: VT, (TM/Cg) MH.</w:t>
            </w:r>
          </w:p>
        </w:tc>
        <w:tc>
          <w:tcPr>
            <w:tcW w:w="2000" w:type="pct"/>
            <w:tcMar>
              <w:top w:w="0" w:type="dxa"/>
              <w:left w:w="108" w:type="dxa"/>
              <w:bottom w:w="0" w:type="dxa"/>
              <w:right w:w="108" w:type="dxa"/>
            </w:tcMar>
            <w:hideMark/>
          </w:tcPr>
          <w:p w:rsidR="00CE6799" w:rsidRPr="00CE6799" w:rsidRDefault="00CE6799">
            <w:pPr>
              <w:spacing w:before="90" w:after="90"/>
              <w:jc w:val="center"/>
            </w:pPr>
            <w:r w:rsidRPr="00CE6799">
              <w:rPr>
                <w:b/>
                <w:bCs/>
              </w:rPr>
              <w:lastRenderedPageBreak/>
              <w:t>TM. ỦY BAN NHÂN DÂN</w:t>
            </w:r>
            <w:r w:rsidRPr="00CE6799">
              <w:rPr>
                <w:b/>
                <w:bCs/>
              </w:rPr>
              <w:br/>
              <w:t>KT. CHỦ TỊCH</w:t>
            </w:r>
            <w:r w:rsidRPr="00CE6799">
              <w:rPr>
                <w:b/>
                <w:bCs/>
              </w:rPr>
              <w:br/>
            </w:r>
            <w:r w:rsidRPr="00CE6799">
              <w:rPr>
                <w:b/>
                <w:bCs/>
              </w:rPr>
              <w:lastRenderedPageBreak/>
              <w:t>PHÓ CHỦ TỊCH</w:t>
            </w:r>
            <w:r w:rsidRPr="00CE6799">
              <w:rPr>
                <w:b/>
                <w:bCs/>
              </w:rPr>
              <w:br/>
            </w:r>
            <w:r w:rsidRPr="00CE6799">
              <w:rPr>
                <w:b/>
                <w:bCs/>
              </w:rPr>
              <w:br/>
              <w:t>(Đã ký)</w:t>
            </w:r>
            <w:r w:rsidRPr="00CE6799">
              <w:rPr>
                <w:b/>
                <w:bCs/>
              </w:rPr>
              <w:br/>
            </w:r>
            <w:r w:rsidRPr="00CE6799">
              <w:rPr>
                <w:b/>
                <w:bCs/>
              </w:rPr>
              <w:br/>
              <w:t>Nguyễn Thị Hồng</w:t>
            </w:r>
          </w:p>
        </w:tc>
      </w:tr>
    </w:tbl>
    <w:p w:rsidR="003012C8" w:rsidRPr="00CE6799" w:rsidRDefault="003012C8"/>
    <w:sectPr w:rsidR="003012C8" w:rsidRPr="00CE6799" w:rsidSect="00CE6799">
      <w:pgSz w:w="12240" w:h="15840"/>
      <w:pgMar w:top="99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2B4"/>
    <w:rsid w:val="003012C8"/>
    <w:rsid w:val="00747AEC"/>
    <w:rsid w:val="008422B4"/>
    <w:rsid w:val="00C53CFC"/>
    <w:rsid w:val="00CE6799"/>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6799"/>
    <w:pPr>
      <w:spacing w:before="100" w:beforeAutospacing="1" w:after="100" w:afterAutospacing="1"/>
    </w:pPr>
  </w:style>
  <w:style w:type="character" w:customStyle="1" w:styleId="highlight">
    <w:name w:val="highlight"/>
    <w:basedOn w:val="DefaultParagraphFont"/>
    <w:rsid w:val="00CE67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6799"/>
    <w:pPr>
      <w:spacing w:before="100" w:beforeAutospacing="1" w:after="100" w:afterAutospacing="1"/>
    </w:pPr>
  </w:style>
  <w:style w:type="character" w:customStyle="1" w:styleId="highlight">
    <w:name w:val="highlight"/>
    <w:basedOn w:val="DefaultParagraphFont"/>
    <w:rsid w:val="00CE6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1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20E53-E06A-401E-A5A7-54B310B5E180}"/>
</file>

<file path=customXml/itemProps2.xml><?xml version="1.0" encoding="utf-8"?>
<ds:datastoreItem xmlns:ds="http://schemas.openxmlformats.org/officeDocument/2006/customXml" ds:itemID="{44E19DFC-E2C3-4A6B-867D-679E78365F65}"/>
</file>

<file path=customXml/itemProps3.xml><?xml version="1.0" encoding="utf-8"?>
<ds:datastoreItem xmlns:ds="http://schemas.openxmlformats.org/officeDocument/2006/customXml" ds:itemID="{44FD39A0-53FC-48DE-B1D2-D1B83E663465}"/>
</file>

<file path=docProps/app.xml><?xml version="1.0" encoding="utf-8"?>
<Properties xmlns="http://schemas.openxmlformats.org/officeDocument/2006/extended-properties" xmlns:vt="http://schemas.openxmlformats.org/officeDocument/2006/docPropsVTypes">
  <Template>Normal.dotm</Template>
  <TotalTime>2</TotalTime>
  <Pages>2</Pages>
  <Words>337</Words>
  <Characters>1922</Characters>
  <Application>Microsoft Office Word</Application>
  <DocSecurity>0</DocSecurity>
  <Lines>16</Lines>
  <Paragraphs>4</Paragraphs>
  <ScaleCrop>false</ScaleCrop>
  <Company>VN</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2</cp:revision>
  <dcterms:created xsi:type="dcterms:W3CDTF">2015-05-07T01:40:00Z</dcterms:created>
  <dcterms:modified xsi:type="dcterms:W3CDTF">2015-05-07T01:42:00Z</dcterms:modified>
</cp:coreProperties>
</file>